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eastAsia="黑体"/>
          <w:kern w:val="0"/>
          <w:sz w:val="32"/>
          <w:szCs w:val="32"/>
        </w:rPr>
      </w:pPr>
    </w:p>
    <w:p>
      <w:pPr>
        <w:jc w:val="center"/>
        <w:rPr>
          <w:rFonts w:eastAsia="方正小标宋_GBK"/>
          <w:sz w:val="48"/>
          <w:szCs w:val="48"/>
        </w:rPr>
      </w:pPr>
      <w:r>
        <w:rPr>
          <w:rFonts w:hint="eastAsia" w:eastAsia="方正小标宋_GBK"/>
          <w:sz w:val="48"/>
          <w:szCs w:val="48"/>
        </w:rPr>
        <w:t>2023</w:t>
      </w:r>
      <w:r>
        <w:rPr>
          <w:rFonts w:eastAsia="方正小标宋_GBK"/>
          <w:sz w:val="48"/>
          <w:szCs w:val="48"/>
        </w:rPr>
        <w:t>年度</w:t>
      </w:r>
      <w:r>
        <w:rPr>
          <w:rFonts w:hint="eastAsia" w:eastAsia="方正小标宋_GBK"/>
          <w:sz w:val="48"/>
          <w:szCs w:val="48"/>
        </w:rPr>
        <w:t>江永县松柏瑶族乡黄甲岭学校</w:t>
      </w:r>
      <w:r>
        <w:rPr>
          <w:rFonts w:eastAsia="方正小标宋_GBK"/>
          <w:sz w:val="48"/>
          <w:szCs w:val="48"/>
        </w:rPr>
        <w:t>整体支出绩效自评报告</w:t>
      </w:r>
    </w:p>
    <w:p>
      <w:pPr>
        <w:jc w:val="center"/>
        <w:rPr>
          <w:rFonts w:eastAsia="楷体_GB2312"/>
          <w:b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 xml:space="preserve"> </w:t>
      </w: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ind w:firstLine="880" w:firstLineChars="200"/>
        <w:jc w:val="center"/>
        <w:rPr>
          <w:rFonts w:eastAsia="黑体"/>
          <w:sz w:val="44"/>
          <w:szCs w:val="44"/>
        </w:rPr>
      </w:pPr>
    </w:p>
    <w:p>
      <w:pPr>
        <w:ind w:firstLine="880" w:firstLineChars="200"/>
        <w:jc w:val="center"/>
        <w:rPr>
          <w:rFonts w:eastAsia="黑体"/>
          <w:sz w:val="44"/>
          <w:szCs w:val="44"/>
        </w:rPr>
      </w:pPr>
    </w:p>
    <w:p>
      <w:pPr>
        <w:ind w:firstLine="880" w:firstLineChars="200"/>
        <w:jc w:val="center"/>
        <w:rPr>
          <w:rFonts w:eastAsia="黑体"/>
          <w:sz w:val="44"/>
          <w:szCs w:val="44"/>
        </w:rPr>
      </w:pPr>
    </w:p>
    <w:p>
      <w:pPr>
        <w:ind w:firstLine="720" w:firstLineChars="200"/>
        <w:jc w:val="center"/>
        <w:rPr>
          <w:rFonts w:eastAsia="黑体"/>
          <w:sz w:val="36"/>
          <w:szCs w:val="36"/>
        </w:rPr>
      </w:pPr>
    </w:p>
    <w:p>
      <w:pPr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单位名称（盖章）：</w:t>
      </w:r>
      <w:r>
        <w:rPr>
          <w:rFonts w:hint="eastAsia" w:eastAsia="黑体"/>
          <w:sz w:val="36"/>
          <w:szCs w:val="36"/>
        </w:rPr>
        <w:t>江永县松柏瑶族乡黄甲岭学校</w:t>
      </w: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jc w:val="center"/>
        <w:rPr>
          <w:rFonts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p>
      <w:pPr>
        <w:spacing w:line="600" w:lineRule="exact"/>
        <w:ind w:firstLine="642" w:firstLineChars="200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</w:t>
      </w:r>
      <w:r>
        <w:rPr>
          <w:rFonts w:hint="eastAsia" w:eastAsia="楷体_GB2312"/>
          <w:b/>
          <w:sz w:val="32"/>
          <w:szCs w:val="32"/>
        </w:rPr>
        <w:t>单位</w:t>
      </w:r>
      <w:r>
        <w:rPr>
          <w:rFonts w:eastAsia="楷体_GB2312"/>
          <w:b/>
          <w:sz w:val="32"/>
          <w:szCs w:val="32"/>
        </w:rPr>
        <w:t>基本情况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江永县</w:t>
      </w:r>
      <w:r>
        <w:rPr>
          <w:rFonts w:hint="eastAsia" w:eastAsia="仿宋_GB2312"/>
          <w:sz w:val="32"/>
          <w:szCs w:val="32"/>
          <w:lang w:eastAsia="zh-CN"/>
        </w:rPr>
        <w:t>松柏瑶族乡黄甲岭学校</w:t>
      </w:r>
      <w:r>
        <w:rPr>
          <w:rFonts w:hint="eastAsia" w:eastAsia="仿宋_GB2312"/>
          <w:sz w:val="32"/>
          <w:szCs w:val="32"/>
        </w:rPr>
        <w:t>位于江永县</w:t>
      </w:r>
      <w:r>
        <w:rPr>
          <w:rFonts w:hint="eastAsia" w:eastAsia="仿宋_GB2312"/>
          <w:sz w:val="32"/>
          <w:szCs w:val="32"/>
          <w:lang w:eastAsia="zh-CN"/>
        </w:rPr>
        <w:t>松柏瑶族乡黄甲岭社区六甲村</w:t>
      </w:r>
      <w:r>
        <w:rPr>
          <w:rFonts w:hint="eastAsia" w:eastAsia="仿宋_GB2312"/>
          <w:sz w:val="32"/>
          <w:szCs w:val="32"/>
        </w:rPr>
        <w:t>，现有初中部及</w:t>
      </w:r>
      <w:r>
        <w:rPr>
          <w:rFonts w:hint="eastAsia" w:eastAsia="仿宋_GB2312"/>
          <w:sz w:val="32"/>
          <w:szCs w:val="32"/>
          <w:lang w:eastAsia="zh-CN"/>
        </w:rPr>
        <w:t>小学</w:t>
      </w:r>
      <w:r>
        <w:rPr>
          <w:rFonts w:hint="eastAsia" w:eastAsia="仿宋_GB2312"/>
          <w:sz w:val="32"/>
          <w:szCs w:val="32"/>
        </w:rPr>
        <w:t>部，2023年共有</w:t>
      </w:r>
      <w:r>
        <w:rPr>
          <w:rFonts w:hint="eastAsia" w:eastAsia="仿宋_GB2312"/>
          <w:sz w:val="32"/>
          <w:szCs w:val="32"/>
          <w:lang w:val="en-US" w:eastAsia="zh-CN"/>
        </w:rPr>
        <w:t>21</w:t>
      </w:r>
      <w:r>
        <w:rPr>
          <w:rFonts w:hint="eastAsia" w:eastAsia="仿宋_GB2312"/>
          <w:sz w:val="32"/>
          <w:szCs w:val="32"/>
        </w:rPr>
        <w:t>个教学班，</w:t>
      </w:r>
      <w:r>
        <w:rPr>
          <w:rFonts w:hint="eastAsia" w:eastAsia="仿宋_GB2312"/>
          <w:sz w:val="32"/>
          <w:szCs w:val="32"/>
          <w:lang w:val="en-US" w:eastAsia="zh-CN"/>
        </w:rPr>
        <w:t>903</w:t>
      </w:r>
      <w:r>
        <w:rPr>
          <w:rFonts w:hint="eastAsia" w:eastAsia="仿宋_GB2312"/>
          <w:sz w:val="32"/>
          <w:szCs w:val="32"/>
        </w:rPr>
        <w:t>名学生，全校教职员工</w:t>
      </w:r>
      <w:r>
        <w:rPr>
          <w:rFonts w:hint="eastAsia" w:eastAsia="仿宋_GB2312"/>
          <w:sz w:val="32"/>
          <w:szCs w:val="32"/>
          <w:lang w:val="en-US" w:eastAsia="zh-CN"/>
        </w:rPr>
        <w:t>80</w:t>
      </w:r>
      <w:r>
        <w:rPr>
          <w:rFonts w:hint="eastAsia" w:eastAsia="仿宋_GB2312"/>
          <w:sz w:val="32"/>
          <w:szCs w:val="32"/>
        </w:rPr>
        <w:t>人，在职在编人数</w:t>
      </w:r>
      <w:r>
        <w:rPr>
          <w:rFonts w:hint="eastAsia" w:eastAsia="仿宋_GB2312"/>
          <w:sz w:val="32"/>
          <w:szCs w:val="32"/>
          <w:lang w:val="en-US" w:eastAsia="zh-CN"/>
        </w:rPr>
        <w:t>80</w:t>
      </w:r>
      <w:r>
        <w:rPr>
          <w:rFonts w:hint="eastAsia" w:eastAsia="仿宋_GB2312"/>
          <w:sz w:val="32"/>
          <w:szCs w:val="32"/>
        </w:rPr>
        <w:t>人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sz w:val="32"/>
          <w:szCs w:val="32"/>
        </w:rPr>
        <w:t>单位主要职能：实施初中学历教育，</w:t>
      </w:r>
      <w:r>
        <w:rPr>
          <w:rFonts w:hint="eastAsia" w:eastAsia="仿宋_GB2312"/>
          <w:sz w:val="32"/>
          <w:szCs w:val="32"/>
          <w:lang w:eastAsia="zh-CN"/>
        </w:rPr>
        <w:t>小学</w:t>
      </w:r>
      <w:r>
        <w:rPr>
          <w:rFonts w:hint="eastAsia" w:eastAsia="仿宋_GB2312"/>
          <w:sz w:val="32"/>
          <w:szCs w:val="32"/>
        </w:rPr>
        <w:t>教育，促进基础教育发展。</w:t>
      </w:r>
    </w:p>
    <w:p>
      <w:pPr>
        <w:numPr>
          <w:ilvl w:val="0"/>
          <w:numId w:val="1"/>
        </w:numPr>
        <w:spacing w:line="600" w:lineRule="exact"/>
        <w:ind w:firstLine="642" w:firstLineChars="200"/>
        <w:rPr>
          <w:rFonts w:eastAsia="楷体_GB2312"/>
          <w:b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>单位</w:t>
      </w:r>
      <w:r>
        <w:rPr>
          <w:rFonts w:eastAsia="楷体_GB2312"/>
          <w:b/>
          <w:sz w:val="32"/>
          <w:szCs w:val="32"/>
        </w:rPr>
        <w:t>年度整体支出绩效目标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国家政策法规规定和本单位实际情况，建立健全财务基础管理制度和约束机制，依法、有效地使用财政资金，提高财政资金使用效率，在完成单位职能目标中合理分配人、财、物，使之达到较高的工作效率和水平</w:t>
      </w:r>
    </w:p>
    <w:p>
      <w:pPr>
        <w:pStyle w:val="7"/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二、一般公共预算支出情况</w:t>
      </w:r>
    </w:p>
    <w:p>
      <w:pPr>
        <w:pStyle w:val="7"/>
        <w:spacing w:line="600" w:lineRule="exact"/>
        <w:ind w:firstLine="643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（一）基本支出情况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2023年年度一般公共预算安排</w:t>
      </w:r>
      <w:r>
        <w:rPr>
          <w:rFonts w:hint="eastAsia" w:eastAsia="仿宋_GB2312"/>
          <w:sz w:val="32"/>
          <w:szCs w:val="32"/>
          <w:lang w:val="en-US" w:eastAsia="zh-CN"/>
        </w:rPr>
        <w:t>1310.85</w:t>
      </w:r>
      <w:r>
        <w:rPr>
          <w:rFonts w:hint="eastAsia" w:eastAsia="仿宋_GB2312"/>
          <w:sz w:val="32"/>
          <w:szCs w:val="32"/>
        </w:rPr>
        <w:t>万元，其中人员经费</w:t>
      </w:r>
      <w:r>
        <w:rPr>
          <w:rFonts w:hint="eastAsia" w:eastAsia="仿宋_GB2312"/>
          <w:sz w:val="32"/>
          <w:szCs w:val="32"/>
          <w:lang w:val="en-US" w:eastAsia="zh-CN"/>
        </w:rPr>
        <w:t>1218.30</w:t>
      </w:r>
      <w:r>
        <w:rPr>
          <w:rFonts w:hint="eastAsia" w:eastAsia="仿宋_GB2312"/>
          <w:sz w:val="32"/>
          <w:szCs w:val="32"/>
        </w:rPr>
        <w:t>万元，公用经费</w:t>
      </w:r>
      <w:r>
        <w:rPr>
          <w:rFonts w:hint="eastAsia" w:eastAsia="仿宋_GB2312"/>
          <w:sz w:val="32"/>
          <w:szCs w:val="32"/>
          <w:lang w:val="en-US" w:eastAsia="zh-CN"/>
        </w:rPr>
        <w:t>131.80</w:t>
      </w:r>
      <w:r>
        <w:rPr>
          <w:rFonts w:hint="eastAsia" w:eastAsia="仿宋_GB2312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lang w:val="en-US" w:eastAsia="zh-CN"/>
        </w:rPr>
        <w:t>92.55</w:t>
      </w:r>
      <w:r>
        <w:rPr>
          <w:rFonts w:hint="eastAsia" w:eastAsia="仿宋_GB2312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2023年江永县</w:t>
      </w:r>
      <w:r>
        <w:rPr>
          <w:rFonts w:hint="eastAsia" w:eastAsia="仿宋_GB2312"/>
          <w:sz w:val="32"/>
          <w:szCs w:val="32"/>
          <w:lang w:eastAsia="zh-CN"/>
        </w:rPr>
        <w:t>黄甲岭学校</w:t>
      </w:r>
      <w:r>
        <w:rPr>
          <w:rFonts w:hint="eastAsia" w:eastAsia="仿宋_GB2312"/>
          <w:sz w:val="32"/>
          <w:szCs w:val="32"/>
        </w:rPr>
        <w:t>用于单位正常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运转及人员经费共</w:t>
      </w:r>
      <w:r>
        <w:rPr>
          <w:rFonts w:hint="eastAsia" w:eastAsia="仿宋_GB2312"/>
          <w:sz w:val="32"/>
          <w:szCs w:val="32"/>
          <w:lang w:val="en-US" w:eastAsia="zh-CN"/>
        </w:rPr>
        <w:t>1310.85</w:t>
      </w:r>
      <w:r>
        <w:rPr>
          <w:rFonts w:hint="eastAsia" w:eastAsia="仿宋_GB2312"/>
          <w:sz w:val="32"/>
          <w:szCs w:val="32"/>
        </w:rPr>
        <w:t>万元，其中人员支出（含基本工资、绩效津补贴、社保及临聘人员工资福利等）共</w:t>
      </w:r>
      <w:r>
        <w:rPr>
          <w:rFonts w:hint="eastAsia" w:eastAsia="仿宋_GB2312"/>
          <w:sz w:val="32"/>
          <w:szCs w:val="32"/>
          <w:lang w:val="en-US" w:eastAsia="zh-CN"/>
        </w:rPr>
        <w:t>1218.30</w:t>
      </w:r>
      <w:r>
        <w:rPr>
          <w:rFonts w:hint="eastAsia" w:eastAsia="仿宋_GB2312"/>
          <w:sz w:val="32"/>
          <w:szCs w:val="32"/>
        </w:rPr>
        <w:t>万元，机构正常运转经费</w:t>
      </w:r>
      <w:r>
        <w:rPr>
          <w:rFonts w:hint="eastAsia" w:eastAsia="仿宋_GB2312"/>
          <w:sz w:val="32"/>
          <w:szCs w:val="32"/>
          <w:lang w:val="en-US" w:eastAsia="zh-CN"/>
        </w:rPr>
        <w:t>131.80</w:t>
      </w:r>
      <w:r>
        <w:rPr>
          <w:rFonts w:hint="eastAsia" w:eastAsia="仿宋_GB2312"/>
          <w:sz w:val="32"/>
          <w:szCs w:val="32"/>
        </w:rPr>
        <w:t>万元。其中办公费</w:t>
      </w:r>
      <w:r>
        <w:rPr>
          <w:rFonts w:hint="eastAsia" w:eastAsia="仿宋_GB2312"/>
          <w:sz w:val="32"/>
          <w:szCs w:val="32"/>
          <w:lang w:val="en-US" w:eastAsia="zh-CN"/>
        </w:rPr>
        <w:t>39.70</w:t>
      </w:r>
      <w:r>
        <w:rPr>
          <w:rFonts w:hint="eastAsia" w:eastAsia="仿宋_GB2312"/>
          <w:sz w:val="32"/>
          <w:szCs w:val="32"/>
        </w:rPr>
        <w:t>万元；水费电费差旅费</w:t>
      </w:r>
      <w:r>
        <w:rPr>
          <w:rFonts w:hint="eastAsia" w:eastAsia="仿宋_GB2312"/>
          <w:sz w:val="32"/>
          <w:szCs w:val="32"/>
          <w:lang w:val="en-US" w:eastAsia="zh-CN"/>
        </w:rPr>
        <w:t>10.15</w:t>
      </w:r>
      <w:r>
        <w:rPr>
          <w:rFonts w:hint="eastAsia" w:eastAsia="仿宋_GB2312"/>
          <w:sz w:val="32"/>
          <w:szCs w:val="32"/>
        </w:rPr>
        <w:t>万元；培训费</w:t>
      </w:r>
      <w:r>
        <w:rPr>
          <w:rFonts w:hint="eastAsia" w:eastAsia="仿宋_GB2312"/>
          <w:sz w:val="32"/>
          <w:szCs w:val="32"/>
          <w:lang w:val="en-US" w:eastAsia="zh-CN"/>
        </w:rPr>
        <w:t>6.81</w:t>
      </w:r>
      <w:r>
        <w:rPr>
          <w:rFonts w:hint="eastAsia" w:eastAsia="仿宋_GB2312"/>
          <w:sz w:val="32"/>
          <w:szCs w:val="32"/>
        </w:rPr>
        <w:t>元，维修费22.91万元等。</w:t>
      </w:r>
    </w:p>
    <w:p>
      <w:pPr>
        <w:spacing w:line="600" w:lineRule="exact"/>
        <w:ind w:firstLine="642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（二）项目支出情况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  <w:lang w:eastAsia="zh-CN"/>
        </w:rPr>
        <w:t>基础绩效</w:t>
      </w:r>
      <w:r>
        <w:rPr>
          <w:rFonts w:hint="eastAsia" w:eastAsia="仿宋_GB2312"/>
          <w:sz w:val="32"/>
          <w:szCs w:val="32"/>
        </w:rPr>
        <w:t>：</w:t>
      </w:r>
      <w:r>
        <w:rPr>
          <w:rFonts w:hint="eastAsia" w:eastAsia="仿宋_GB2312"/>
          <w:sz w:val="32"/>
          <w:szCs w:val="32"/>
          <w:lang w:val="en-US" w:eastAsia="zh-CN"/>
        </w:rPr>
        <w:t>92.55</w:t>
      </w:r>
      <w:r>
        <w:rPr>
          <w:rFonts w:hint="eastAsia" w:eastAsia="仿宋_GB2312"/>
          <w:sz w:val="32"/>
          <w:szCs w:val="32"/>
        </w:rPr>
        <w:t>万元，用于发放23学年学校各</w:t>
      </w:r>
      <w:r>
        <w:rPr>
          <w:rFonts w:hint="eastAsia" w:eastAsia="仿宋_GB2312"/>
          <w:sz w:val="32"/>
          <w:szCs w:val="32"/>
          <w:lang w:eastAsia="zh-CN"/>
        </w:rPr>
        <w:t>教师</w:t>
      </w:r>
      <w:r>
        <w:rPr>
          <w:rFonts w:hint="eastAsia" w:eastAsia="仿宋_GB2312"/>
          <w:sz w:val="32"/>
          <w:szCs w:val="32"/>
        </w:rPr>
        <w:t>每月的</w:t>
      </w:r>
      <w:r>
        <w:rPr>
          <w:rFonts w:hint="eastAsia" w:eastAsia="仿宋_GB2312"/>
          <w:sz w:val="32"/>
          <w:szCs w:val="32"/>
          <w:lang w:eastAsia="zh-CN"/>
        </w:rPr>
        <w:t>基础绩效</w:t>
      </w:r>
      <w:r>
        <w:rPr>
          <w:rFonts w:hint="eastAsia" w:eastAsia="仿宋_GB2312"/>
          <w:sz w:val="32"/>
          <w:szCs w:val="32"/>
        </w:rPr>
        <w:t>。</w:t>
      </w:r>
    </w:p>
    <w:p>
      <w:pPr>
        <w:pStyle w:val="7"/>
        <w:numPr>
          <w:ilvl w:val="0"/>
          <w:numId w:val="2"/>
        </w:numPr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无</w:t>
      </w:r>
    </w:p>
    <w:p>
      <w:pPr>
        <w:pStyle w:val="7"/>
        <w:numPr>
          <w:ilvl w:val="0"/>
          <w:numId w:val="2"/>
        </w:numPr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国有资本经营预算支出情况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无</w:t>
      </w:r>
    </w:p>
    <w:p>
      <w:pPr>
        <w:pStyle w:val="7"/>
        <w:numPr>
          <w:ilvl w:val="0"/>
          <w:numId w:val="2"/>
        </w:numPr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社会保险基金预算支出情况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2023年机关事业单位基本养老保险缴费支出</w:t>
      </w:r>
      <w:r>
        <w:rPr>
          <w:rFonts w:hint="eastAsia" w:eastAsia="仿宋_GB2312"/>
          <w:sz w:val="32"/>
          <w:szCs w:val="32"/>
          <w:lang w:val="en-US" w:eastAsia="zh-CN"/>
        </w:rPr>
        <w:t>156.20</w:t>
      </w:r>
      <w:r>
        <w:rPr>
          <w:rFonts w:hint="eastAsia" w:eastAsia="仿宋_GB2312"/>
          <w:sz w:val="32"/>
          <w:szCs w:val="32"/>
        </w:rPr>
        <w:t>万元，职工基本医疗保险缴费支出</w:t>
      </w:r>
      <w:r>
        <w:rPr>
          <w:rFonts w:hint="eastAsia" w:eastAsia="仿宋_GB2312"/>
          <w:sz w:val="32"/>
          <w:szCs w:val="32"/>
          <w:lang w:val="en-US" w:eastAsia="zh-CN"/>
        </w:rPr>
        <w:t>61.41</w:t>
      </w:r>
      <w:r>
        <w:rPr>
          <w:rFonts w:hint="eastAsia" w:eastAsia="仿宋_GB2312"/>
          <w:sz w:val="32"/>
          <w:szCs w:val="32"/>
        </w:rPr>
        <w:t>万元，其他社会保障缴费支出12.06万元。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六、部门整体支出绩效情况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2023年，我校积极履职，强化管理，较好地完成了年度工作目标。通过加强预算收支管理，不断建立健全内部管理制度，梳理内部管理流程，部门整体支出管理水平得到提升。根据部门整体支出绩效评价指标体系，我校2023年度评价得分为99分。部门整体支出绩效情况中，部门资金使用率得分10分，其他分值如下：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</w:p>
    <w:tbl>
      <w:tblPr>
        <w:tblStyle w:val="5"/>
        <w:tblW w:w="98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1157"/>
        <w:gridCol w:w="1380"/>
        <w:gridCol w:w="2173"/>
        <w:gridCol w:w="1485"/>
        <w:gridCol w:w="1249"/>
        <w:gridCol w:w="772"/>
        <w:gridCol w:w="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1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14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年度指标值</w:t>
            </w:r>
          </w:p>
        </w:tc>
        <w:tc>
          <w:tcPr>
            <w:tcW w:w="12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实际完成值</w:t>
            </w:r>
          </w:p>
        </w:tc>
        <w:tc>
          <w:tcPr>
            <w:tcW w:w="7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1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7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产出指标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教师培训人次</w:t>
            </w:r>
          </w:p>
        </w:tc>
        <w:tc>
          <w:tcPr>
            <w:tcW w:w="148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4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新生入学率</w:t>
            </w:r>
          </w:p>
        </w:tc>
        <w:tc>
          <w:tcPr>
            <w:tcW w:w="148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4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食品安全达标率</w:t>
            </w:r>
          </w:p>
        </w:tc>
        <w:tc>
          <w:tcPr>
            <w:tcW w:w="148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4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效益指标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21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初中毕业合格率</w:t>
            </w:r>
          </w:p>
        </w:tc>
        <w:tc>
          <w:tcPr>
            <w:tcW w:w="148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4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21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学校安全事故发生次数</w:t>
            </w:r>
          </w:p>
        </w:tc>
        <w:tc>
          <w:tcPr>
            <w:tcW w:w="148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0次</w:t>
            </w:r>
          </w:p>
        </w:tc>
        <w:tc>
          <w:tcPr>
            <w:tcW w:w="124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0次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生态效益指标</w:t>
            </w:r>
          </w:p>
        </w:tc>
        <w:tc>
          <w:tcPr>
            <w:tcW w:w="21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校园修缮完成率</w:t>
            </w:r>
          </w:p>
        </w:tc>
        <w:tc>
          <w:tcPr>
            <w:tcW w:w="148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4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90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4.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21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可持续发挥生态作用</w:t>
            </w:r>
          </w:p>
        </w:tc>
        <w:tc>
          <w:tcPr>
            <w:tcW w:w="148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显著</w:t>
            </w:r>
          </w:p>
        </w:tc>
        <w:tc>
          <w:tcPr>
            <w:tcW w:w="124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改善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3.5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服务对象满意度指标</w:t>
            </w:r>
          </w:p>
        </w:tc>
        <w:tc>
          <w:tcPr>
            <w:tcW w:w="2173" w:type="dxa"/>
            <w:tcBorders>
              <w:top w:val="nil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家长满意度</w:t>
            </w:r>
          </w:p>
        </w:tc>
        <w:tc>
          <w:tcPr>
            <w:tcW w:w="1485" w:type="dxa"/>
            <w:tcBorders>
              <w:top w:val="nil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≥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1249" w:type="dxa"/>
            <w:tcBorders>
              <w:top w:val="nil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94%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经济成本指标</w:t>
            </w:r>
          </w:p>
        </w:tc>
        <w:tc>
          <w:tcPr>
            <w:tcW w:w="2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预算执行率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社会成本指标</w:t>
            </w:r>
          </w:p>
        </w:tc>
        <w:tc>
          <w:tcPr>
            <w:tcW w:w="217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资金使用合规性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合规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合规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生态环境成本指标</w:t>
            </w:r>
          </w:p>
        </w:tc>
        <w:tc>
          <w:tcPr>
            <w:tcW w:w="2173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校园整体环境</w:t>
            </w:r>
          </w:p>
        </w:tc>
        <w:tc>
          <w:tcPr>
            <w:tcW w:w="148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124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2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90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89</w:t>
            </w:r>
          </w:p>
        </w:tc>
      </w:tr>
    </w:tbl>
    <w:p>
      <w:pPr>
        <w:pStyle w:val="7"/>
        <w:spacing w:line="600" w:lineRule="exact"/>
        <w:ind w:firstLine="0" w:firstLineChars="0"/>
        <w:rPr>
          <w:rFonts w:ascii="Times New Roman" w:hAnsi="Times New Roman" w:eastAsia="黑体"/>
          <w:sz w:val="32"/>
          <w:szCs w:val="32"/>
        </w:rPr>
      </w:pPr>
    </w:p>
    <w:p>
      <w:pPr>
        <w:pStyle w:val="7"/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七、存在的问题及原因分析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1.预算编制工作有待细化。预算编制不够明确和细化，预算编制的合理性需要提高，预算执行力度还要进一步加强。 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2.支出监控机制不完善，难以确保资金的有效利用。</w:t>
      </w:r>
    </w:p>
    <w:p>
      <w:pPr>
        <w:spacing w:line="600" w:lineRule="exact"/>
        <w:ind w:firstLine="64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3.相关人员对预算业务有待进一步加强。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八、下一步改进措施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针对上述存在的问题及对外整体支出管理工作的需要，拟实施的改进措施如下：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细化预算编制工作，认真做好预算的编制。进一步加强单位内部机构各股室的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2.优化支出结构，促进教育资源均衡配置。根据教学科研实际需要，合理配置资源，确保重点领域和薄弱环节得到优先保障。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3.对相关人员加强培训，特别是针对《预算法》《行政事业单位会计制度》等学习培训，规范部门预算收支核算，切实提高部门预算收支管理水平。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九、绩效自评结果拟应用和公开情况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我校根据教育部门和上级主管部门的要求，认真开展了绩效自评工作。经过自评，学校在教育教学、管理服务和创新发展等方面取得了显著成绩，整体绩效水平较高。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为充分发挥绩效自评结果的激励和导向作用，学校将自评结果应用于以下几个方面：一是优化资源配置，提升教育教学质量；二是加强内部管理，提高管理效能；三是推动创新发展，增强学校核心竞争力。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同时，学校将自评结果以适当方式向全校师生和社会公众公开，接受监督。公开内容包括自评报告、绩效指标数据和改进措施等，确保信息的真实性和准确性。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通过自评结果的应用和公开，学校将不断提升整体绩效水平，为师生提供更优质的教育服务，为社会发展做出更大贡献。</w:t>
      </w:r>
    </w:p>
    <w:p>
      <w:pPr>
        <w:rPr>
          <w:sz w:val="30"/>
          <w:szCs w:val="30"/>
        </w:rPr>
      </w:pPr>
    </w:p>
    <w:p/>
    <w:p>
      <w:pPr>
        <w:widowControl/>
      </w:pPr>
    </w:p>
    <w:p>
      <w:pPr>
        <w:widowControl/>
      </w:pPr>
    </w:p>
    <w:p>
      <w:pPr>
        <w:widowControl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D1D961"/>
    <w:multiLevelType w:val="singleLevel"/>
    <w:tmpl w:val="D4D1D96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0084E6"/>
    <w:multiLevelType w:val="singleLevel"/>
    <w:tmpl w:val="D80084E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lhMThjN2Q1MDExMTBmNTY3ZTkxM2VmM2Y5NTJhZmIifQ=="/>
    <w:docVar w:name="KSO_WPS_MARK_KEY" w:val="6aee906e-a7de-4205-b603-4d5f6656a126"/>
  </w:docVars>
  <w:rsids>
    <w:rsidRoot w:val="3B2E149E"/>
    <w:rsid w:val="00177FD9"/>
    <w:rsid w:val="00313A39"/>
    <w:rsid w:val="008A1940"/>
    <w:rsid w:val="00932553"/>
    <w:rsid w:val="00C65925"/>
    <w:rsid w:val="00C96346"/>
    <w:rsid w:val="00E57CDA"/>
    <w:rsid w:val="00E82067"/>
    <w:rsid w:val="1DA203F6"/>
    <w:rsid w:val="21B8102D"/>
    <w:rsid w:val="26875CA4"/>
    <w:rsid w:val="2C745384"/>
    <w:rsid w:val="363C2636"/>
    <w:rsid w:val="3B2E149E"/>
    <w:rsid w:val="3DCA4743"/>
    <w:rsid w:val="3E007A52"/>
    <w:rsid w:val="3F0C10F2"/>
    <w:rsid w:val="48D47BB5"/>
    <w:rsid w:val="498176A7"/>
    <w:rsid w:val="4C4E010F"/>
    <w:rsid w:val="645B1B3F"/>
    <w:rsid w:val="6AB01D17"/>
    <w:rsid w:val="6BF37CB6"/>
    <w:rsid w:val="71183086"/>
    <w:rsid w:val="7AEC3708"/>
    <w:rsid w:val="7F6F7D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szCs w:val="22"/>
    </w:rPr>
  </w:style>
  <w:style w:type="character" w:customStyle="1" w:styleId="8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1702</Words>
  <Characters>1865</Characters>
  <Lines>3</Lines>
  <Paragraphs>4</Paragraphs>
  <TotalTime>18</TotalTime>
  <ScaleCrop>false</ScaleCrop>
  <LinksUpToDate>false</LinksUpToDate>
  <CharactersWithSpaces>1867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2024-04-10T01:24:00Z</dcterms:created>
  <dc:creator>^与久。</dc:creator>
  <cp:lastModifiedBy>greatwall</cp:lastModifiedBy>
  <cp:lastPrinted>2024-04-10T15:22:00Z</cp:lastPrinted>
  <dcterms:modified xsi:type="dcterms:W3CDTF">2024-04-15T09:01:40Z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E6B9619B53194A618925228288BCC5BC_11</vt:lpwstr>
  </property>
</Properties>
</file>